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11A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Памятка по получению доступов к подсистемам ФЕРЗЛ и ФПУМП</w:t>
      </w:r>
    </w:p>
    <w:p w14:paraId="6340EACF">
      <w:pPr>
        <w:jc w:val="both"/>
        <w:rPr>
          <w:rFonts w:hint="default"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br w:type="textWrapping"/>
      </w:r>
      <w:r>
        <w:rPr>
          <w:rFonts w:hint="default"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</w:rPr>
        <w:t xml:space="preserve">Данный документ предназначен для участников информационного взаимодействия (ТФОМС, СМО, МО) и описывает ключевые параметры при заведении заявок в ДОМС на выдачу учетных записей и авторизационных данных к подсистемам ФЕРЗЛ и ФПУМП. Памятка является дополнением к </w:t>
      </w:r>
      <w:r>
        <w:rPr>
          <w:rFonts w:hint="default" w:ascii="Times New Roman" w:hAnsi="Times New Roman" w:cs="Times New Roman"/>
          <w:lang w:val="ru-RU"/>
        </w:rPr>
        <w:t>П</w:t>
      </w:r>
      <w:r>
        <w:rPr>
          <w:rFonts w:ascii="Times New Roman" w:hAnsi="Times New Roman" w:cs="Times New Roman"/>
        </w:rPr>
        <w:t xml:space="preserve">риложению </w:t>
      </w:r>
      <w:r>
        <w:rPr>
          <w:rFonts w:ascii="Times New Roman" w:hAnsi="Times New Roman" w:cs="Times New Roman"/>
          <w:lang w:val="ru-RU"/>
        </w:rPr>
        <w:t>№</w:t>
      </w:r>
      <w:r>
        <w:rPr>
          <w:rFonts w:ascii="Times New Roman" w:hAnsi="Times New Roman" w:cs="Times New Roman"/>
        </w:rPr>
        <w:t>1.4 методических рекомендаций по внедрению</w:t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ascii="Times New Roman" w:hAnsi="Times New Roman"/>
        </w:rPr>
        <w:t>ФЕРЗЛ и ФПУМП</w:t>
      </w:r>
      <w:r>
        <w:rPr>
          <w:rFonts w:hint="default" w:ascii="Times New Roman" w:hAnsi="Times New Roman"/>
          <w:lang w:val="ru-RU"/>
        </w:rPr>
        <w:t xml:space="preserve">. </w:t>
      </w:r>
    </w:p>
    <w:p w14:paraId="41A7EE5A">
      <w:pPr>
        <w:pStyle w:val="29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Памятка для МО с указанием ключевых параметров при заведении заявок на доступы к стендам ФЕРЗЛ и ФПУМП.</w:t>
      </w:r>
    </w:p>
    <w:p w14:paraId="03FF6A72">
      <w:pPr>
        <w:pStyle w:val="29"/>
        <w:numPr>
          <w:ilvl w:val="0"/>
          <w:numId w:val="0"/>
        </w:numPr>
        <w:ind w:left="720" w:leftChars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1.1 Получение доступа к интеграционному стенду </w:t>
      </w:r>
      <w:r>
        <w:rPr>
          <w:rFonts w:ascii="Times New Roman" w:hAnsi="Times New Roman" w:cs="Times New Roman"/>
          <w:b/>
          <w:bCs/>
          <w:lang w:val="en-US"/>
        </w:rPr>
        <w:t>PD</w:t>
      </w:r>
      <w:r>
        <w:rPr>
          <w:rFonts w:ascii="Times New Roman" w:hAnsi="Times New Roman" w:cs="Times New Roman"/>
          <w:b/>
          <w:bCs/>
        </w:rPr>
        <w:t>15 (для тестирования)</w:t>
      </w:r>
    </w:p>
    <w:tbl>
      <w:tblPr>
        <w:tblStyle w:val="15"/>
        <w:tblW w:w="14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9"/>
        <w:gridCol w:w="6216"/>
        <w:gridCol w:w="3410"/>
      </w:tblGrid>
      <w:tr w14:paraId="665D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9" w:type="dxa"/>
          </w:tcPr>
          <w:p w14:paraId="684777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Учетные записи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  <w:tc>
          <w:tcPr>
            <w:tcW w:w="6216" w:type="dxa"/>
          </w:tcPr>
          <w:p w14:paraId="18D2B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Интеграционные данные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подключение ИС»</w:t>
            </w:r>
          </w:p>
        </w:tc>
        <w:tc>
          <w:tcPr>
            <w:tcW w:w="3410" w:type="dxa"/>
          </w:tcPr>
          <w:p w14:paraId="4245B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Учетная запись ГосТех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</w:tr>
      <w:tr w14:paraId="4B32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9" w:type="dxa"/>
          </w:tcPr>
          <w:p w14:paraId="2BB19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ФЕРЗЛ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"Федеральный единый регистр застрахованных лиц"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Роль: Оператор МО (для чтения и записи) и/или Роль: Руководитель МО (для чтения)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ФЕРЗЛ направляются на электронную почту пользователя, указанную в заявке.</w:t>
            </w:r>
          </w:p>
        </w:tc>
        <w:tc>
          <w:tcPr>
            <w:tcW w:w="6216" w:type="dxa"/>
            <w:vMerge w:val="restart"/>
          </w:tcPr>
          <w:p w14:paraId="568F1C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получения интеграционных данных в подсистемы ФЕРЗЛ и ФПУМП в ДОМС могут быть созданы, как отдельные заявки на каждую подсистему, так и общая заявка на 2 подсистемы.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Токен в ФЕРЗЛ (выдается 1 токен на главврача/директора МО), </w:t>
            </w:r>
            <w:r>
              <w:rPr>
                <w:rFonts w:ascii="Times New Roman" w:hAnsi="Times New Roman" w:cs="Times New Roman"/>
                <w:lang w:val="en-US"/>
              </w:rPr>
              <w:t>ClientID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ClientSecret</w:t>
            </w:r>
            <w:r>
              <w:rPr>
                <w:rFonts w:ascii="Times New Roman" w:hAnsi="Times New Roman" w:cs="Times New Roman"/>
              </w:rPr>
              <w:t xml:space="preserve"> в ФПУМП (выдается 1 пара на информационную систему),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АП в ФПУМП (выдается 1 АП на 1 МО):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С какими подсистемами планируется взаимодействие: ФЕРЗЛ и/или ФПУМП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Токен в ФЕРЗЛ, </w:t>
            </w:r>
            <w:r>
              <w:rPr>
                <w:rFonts w:ascii="Times New Roman" w:hAnsi="Times New Roman" w:cs="Times New Roman"/>
                <w:lang w:val="en-US"/>
              </w:rPr>
              <w:t>ClientID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ClientSecret</w:t>
            </w:r>
            <w:r>
              <w:rPr>
                <w:rFonts w:ascii="Times New Roman" w:hAnsi="Times New Roman" w:cs="Times New Roman"/>
              </w:rPr>
              <w:t xml:space="preserve"> и АП в ФПУМП направляются на электронную почту пользователя, указанную в заявке.</w:t>
            </w:r>
          </w:p>
        </w:tc>
        <w:tc>
          <w:tcPr>
            <w:tcW w:w="3410" w:type="dxa"/>
            <w:vMerge w:val="restart"/>
          </w:tcPr>
          <w:p w14:paraId="0D3D0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ГосТех: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ГОСТЕХ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ГосТех направляются на электронную почту пользователя, указанную в заявке.</w:t>
            </w:r>
          </w:p>
        </w:tc>
      </w:tr>
      <w:tr w14:paraId="780E9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9" w:type="dxa"/>
          </w:tcPr>
          <w:p w14:paraId="5D9D4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ФПУМП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"Федеральная подсистема персонифицированного учета медицинской помощи"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Роль: Оператор МО (для чтения и записи)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ФПУМП направляются на электронную почту пользователя, указанную в заявке.</w:t>
            </w:r>
          </w:p>
        </w:tc>
        <w:tc>
          <w:tcPr>
            <w:tcW w:w="6216" w:type="dxa"/>
            <w:vMerge w:val="continue"/>
          </w:tcPr>
          <w:p w14:paraId="75AC8F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0" w:type="dxa"/>
            <w:vMerge w:val="continue"/>
          </w:tcPr>
          <w:p w14:paraId="0241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C306D75">
      <w:pPr>
        <w:jc w:val="center"/>
        <w:rPr>
          <w:rFonts w:ascii="Times New Roman" w:hAnsi="Times New Roman" w:cs="Times New Roman"/>
        </w:rPr>
      </w:pPr>
    </w:p>
    <w:p w14:paraId="18E417BE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1.2 Получение доступа к промышленным стендам ФЕРЗЛ и ФПУМП (ГосТех </w:t>
      </w:r>
      <w:r>
        <w:rPr>
          <w:rFonts w:ascii="Times New Roman" w:hAnsi="Times New Roman" w:cs="Times New Roman"/>
          <w:b/>
          <w:bCs/>
          <w:lang w:val="en-US"/>
        </w:rPr>
        <w:t>PD</w:t>
      </w:r>
      <w:r>
        <w:rPr>
          <w:rFonts w:ascii="Times New Roman" w:hAnsi="Times New Roman" w:cs="Times New Roman"/>
          <w:b/>
          <w:bCs/>
        </w:rPr>
        <w:t xml:space="preserve">20) </w:t>
      </w:r>
    </w:p>
    <w:tbl>
      <w:tblPr>
        <w:tblStyle w:val="15"/>
        <w:tblW w:w="14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5"/>
        <w:gridCol w:w="8072"/>
      </w:tblGrid>
      <w:tr w14:paraId="41303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5" w:type="dxa"/>
          </w:tcPr>
          <w:p w14:paraId="32516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Учетные записи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  <w:tc>
          <w:tcPr>
            <w:tcW w:w="8072" w:type="dxa"/>
          </w:tcPr>
          <w:p w14:paraId="770D7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Интеграционные данные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подключение ИС»</w:t>
            </w:r>
          </w:p>
        </w:tc>
      </w:tr>
      <w:tr w14:paraId="4E21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5" w:type="dxa"/>
          </w:tcPr>
          <w:p w14:paraId="0AF7C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ФЕРЗЛ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PROD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"Федеральный единый регистр застрахованных лиц"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Роль: Оператор МО (для чтения и записи) и/или Роль: Руководитель МО (для чтения)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ФЕРЗЛ направляются по Деловой почте на УИБ ФОМС.</w:t>
            </w:r>
          </w:p>
        </w:tc>
        <w:tc>
          <w:tcPr>
            <w:tcW w:w="8072" w:type="dxa"/>
            <w:vMerge w:val="restart"/>
          </w:tcPr>
          <w:p w14:paraId="5DD4F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получения интеграционных данных в подсистемы ФЕРЗЛ и ФПУМП в ДОМС могут быть созданы, как отдельные заявки на каждую подсистему, так и общая заявка на 2 подсистемы.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Токен в ФЕРЗЛ (выдается 1 токен на главврача/директора МО),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  <w:lang w:val="en-US"/>
              </w:rPr>
              <w:t>ClientID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ClientSecret</w:t>
            </w:r>
            <w:r>
              <w:rPr>
                <w:rFonts w:ascii="Times New Roman" w:hAnsi="Times New Roman" w:cs="Times New Roman"/>
              </w:rPr>
              <w:t xml:space="preserve"> в ФПУМП (выдается 1 пара на информационную систему),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ПТУЗ в ФПУМП (выдается 1 ПТУЗ на 1 МО):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С какими подсистемами планируется взаимодействие: ФЕРЗЛ и/или ФПУМП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PROD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Токен в ФЕРЗЛ направляется по Деловой почте на УИБ ФОМС. </w:t>
            </w:r>
            <w:r>
              <w:rPr>
                <w:rFonts w:ascii="Times New Roman" w:hAnsi="Times New Roman" w:cs="Times New Roman"/>
                <w:lang w:val="en-US"/>
              </w:rPr>
              <w:t>ClientID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ClientSecret</w:t>
            </w:r>
            <w:r>
              <w:rPr>
                <w:rFonts w:ascii="Times New Roman" w:hAnsi="Times New Roman" w:cs="Times New Roman"/>
              </w:rPr>
              <w:t xml:space="preserve"> и ПТУЗ в ФПУМП направляются на электронную почту пользователя, указанную в заявке.</w:t>
            </w:r>
          </w:p>
        </w:tc>
      </w:tr>
      <w:tr w14:paraId="56AA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5" w:type="dxa"/>
          </w:tcPr>
          <w:p w14:paraId="4A784B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ФПУМП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PROD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"Федеральная подсистема персонифицированного учета медицинской помощи"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Роль: Оператор МО (для чтения и записи) 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ФПУМП направляются на электронную почту пользователя, указанную в заявке.</w:t>
            </w:r>
          </w:p>
        </w:tc>
        <w:tc>
          <w:tcPr>
            <w:tcW w:w="8072" w:type="dxa"/>
            <w:vMerge w:val="continue"/>
          </w:tcPr>
          <w:p w14:paraId="03F316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9F16AF3">
      <w:pPr>
        <w:ind w:left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  <w:b/>
          <w:bCs/>
        </w:rPr>
        <w:br w:type="textWrapping"/>
      </w:r>
      <w:r>
        <w:rPr>
          <w:rFonts w:ascii="Times New Roman" w:hAnsi="Times New Roman" w:cs="Times New Roman"/>
          <w:b/>
          <w:bCs/>
        </w:rPr>
        <w:br w:type="textWrapping"/>
      </w:r>
      <w:r>
        <w:rPr>
          <w:rFonts w:ascii="Times New Roman" w:hAnsi="Times New Roman" w:cs="Times New Roman"/>
          <w:b/>
          <w:bCs/>
        </w:rPr>
        <w:t>2. Памятка для ТФОМС с указанием ключевых параметров при заведении заявок на доступы к стендам ФЕРЗЛ и ФПУМП.</w:t>
      </w:r>
      <w:r>
        <w:rPr>
          <w:rFonts w:ascii="Times New Roman" w:hAnsi="Times New Roman" w:cs="Times New Roman"/>
          <w:b/>
          <w:bCs/>
        </w:rPr>
        <w:br w:type="textWrapping"/>
      </w:r>
      <w:r>
        <w:rPr>
          <w:rFonts w:ascii="Times New Roman" w:hAnsi="Times New Roman" w:cs="Times New Roman"/>
          <w:b/>
          <w:bCs/>
        </w:rPr>
        <w:t xml:space="preserve">2.1 Получение доступа к интеграционному стенду </w:t>
      </w:r>
      <w:r>
        <w:rPr>
          <w:rFonts w:ascii="Times New Roman" w:hAnsi="Times New Roman" w:cs="Times New Roman"/>
          <w:b/>
          <w:bCs/>
          <w:lang w:val="en-US"/>
        </w:rPr>
        <w:t>PD</w:t>
      </w:r>
      <w:r>
        <w:rPr>
          <w:rFonts w:ascii="Times New Roman" w:hAnsi="Times New Roman" w:cs="Times New Roman"/>
          <w:b/>
          <w:bCs/>
        </w:rPr>
        <w:t>15 (для тестирования)</w:t>
      </w:r>
    </w:p>
    <w:tbl>
      <w:tblPr>
        <w:tblStyle w:val="15"/>
        <w:tblW w:w="14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9"/>
        <w:gridCol w:w="6216"/>
        <w:gridCol w:w="3410"/>
      </w:tblGrid>
      <w:tr w14:paraId="511A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9" w:type="dxa"/>
          </w:tcPr>
          <w:p w14:paraId="7A1A8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Учетные записи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  <w:tc>
          <w:tcPr>
            <w:tcW w:w="6216" w:type="dxa"/>
          </w:tcPr>
          <w:p w14:paraId="66838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Интеграционные данные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подключение ИС»</w:t>
            </w:r>
          </w:p>
        </w:tc>
        <w:tc>
          <w:tcPr>
            <w:tcW w:w="3410" w:type="dxa"/>
          </w:tcPr>
          <w:p w14:paraId="60204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Учетная запись ГосТех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</w:tr>
      <w:tr w14:paraId="7838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9" w:type="dxa"/>
          </w:tcPr>
          <w:p w14:paraId="072DE6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ФЕРЗЛ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"Федеральный единый регистр застрахованных лиц"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Роль: Оператор МО (для чтения и записи) и/или Роль: Руководитель МО (для чтения) и/или Роль: Куратор ТФОМС по МО (ограниченный функционал для просмотра данных, отчетов и выгрузок)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ФЕРЗЛ направляются на электронную почту пользователя, указанную в заявке.</w:t>
            </w:r>
          </w:p>
        </w:tc>
        <w:tc>
          <w:tcPr>
            <w:tcW w:w="6216" w:type="dxa"/>
            <w:vMerge w:val="restart"/>
          </w:tcPr>
          <w:p w14:paraId="06F59D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Токен в ФЕРЗЛ (выдается 1 токен ТФОМС)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С какими подсистемами планируется взаимодействие: ФЕРЗЛ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Токен в ФЕРЗЛ направляется на электронную почту пользователя, указанную в заявке.</w:t>
            </w:r>
          </w:p>
        </w:tc>
        <w:tc>
          <w:tcPr>
            <w:tcW w:w="3410" w:type="dxa"/>
            <w:vMerge w:val="restart"/>
          </w:tcPr>
          <w:p w14:paraId="17A38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ГосТех: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ГОСТЕХ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ГосТех направляются на электронную почту пользователя, указанную в заявке.</w:t>
            </w:r>
          </w:p>
        </w:tc>
      </w:tr>
      <w:tr w14:paraId="2442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9" w:type="dxa"/>
          </w:tcPr>
          <w:p w14:paraId="377A8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ФПУМП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"Федеральная подсистема персонифицированного учета медицинской помощи"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Роль: Плательщик ТФОМС (ключевая роль), Администратор счетов субъекта (проведение МЭК, работа со счетами), Куратор по СМО для ТФОМС (чтение), Куратор по МО для ТФОМС (чтение).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ФПУМП направляются на электронную почту пользователя, указанную в заявке.</w:t>
            </w:r>
          </w:p>
        </w:tc>
        <w:tc>
          <w:tcPr>
            <w:tcW w:w="6216" w:type="dxa"/>
            <w:vMerge w:val="continue"/>
          </w:tcPr>
          <w:p w14:paraId="73AEC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0" w:type="dxa"/>
            <w:vMerge w:val="continue"/>
          </w:tcPr>
          <w:p w14:paraId="14232B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B56895">
      <w:pPr>
        <w:jc w:val="center"/>
        <w:rPr>
          <w:rFonts w:ascii="Times New Roman" w:hAnsi="Times New Roman" w:cs="Times New Roman"/>
        </w:rPr>
      </w:pPr>
    </w:p>
    <w:p w14:paraId="5F79D5AC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2.2 Получение доступа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к промышленным стендам ФЕРЗЛ и ФПУМП (ГосТех </w:t>
      </w:r>
      <w:r>
        <w:rPr>
          <w:rFonts w:ascii="Times New Roman" w:hAnsi="Times New Roman" w:cs="Times New Roman"/>
          <w:b/>
          <w:bCs/>
          <w:lang w:val="en-US"/>
        </w:rPr>
        <w:t>PD</w:t>
      </w:r>
      <w:r>
        <w:rPr>
          <w:rFonts w:ascii="Times New Roman" w:hAnsi="Times New Roman" w:cs="Times New Roman"/>
          <w:b/>
          <w:bCs/>
        </w:rPr>
        <w:t xml:space="preserve">20) </w:t>
      </w:r>
    </w:p>
    <w:tbl>
      <w:tblPr>
        <w:tblStyle w:val="15"/>
        <w:tblW w:w="14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3"/>
        <w:gridCol w:w="4394"/>
      </w:tblGrid>
      <w:tr w14:paraId="49A5C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</w:tcPr>
          <w:p w14:paraId="60071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Учетные записи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  <w:tc>
          <w:tcPr>
            <w:tcW w:w="4394" w:type="dxa"/>
          </w:tcPr>
          <w:p w14:paraId="0AAA7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Интеграционные данные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подключение ИС»</w:t>
            </w:r>
          </w:p>
        </w:tc>
      </w:tr>
      <w:tr w14:paraId="487E0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</w:tcPr>
          <w:p w14:paraId="7712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ФЕРЗЛ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PROD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"Федеральный единый регистр застрахованных лиц"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Роль: Оператор МО (для чтения и записи) и/или Роль: Руководитель МО (для чтения) и/или Роль: Куратор ТФОМС по МО (ограниченный функционал для просмотра данных, отчетов и выгрузок)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ФЕРЗЛ направляются по Деловой почте на УИБ ФОМС.</w:t>
            </w:r>
          </w:p>
        </w:tc>
        <w:tc>
          <w:tcPr>
            <w:tcW w:w="4394" w:type="dxa"/>
            <w:vMerge w:val="restart"/>
          </w:tcPr>
          <w:p w14:paraId="144C26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Токен в ФЕРЗЛ (выдается 1 токен ТФОМС)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С какими подсистемами планируется взаимодействие: ФЕРЗЛ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PROD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Токен в ФЕРЗЛ направляется по Деловой почте на УИБ ФОМС.</w:t>
            </w:r>
          </w:p>
        </w:tc>
      </w:tr>
      <w:tr w14:paraId="1E9DB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</w:tcPr>
          <w:p w14:paraId="2677A0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ФПУМП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PROD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"Федеральная подсистема персонифицированного учета медицинской помощи"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Роль: Плательщик ТФОМС (ключевая роль), Администратор счетов субъекта (проведение МЭК, работа со счетами), Куратор по СМО для ТФОМС (чтение), Куратор по МО для ТФОМС (чтение).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ФПУМП направляются на электронную почту пользователя, указанную в заявке.</w:t>
            </w:r>
          </w:p>
        </w:tc>
        <w:tc>
          <w:tcPr>
            <w:tcW w:w="4394" w:type="dxa"/>
            <w:vMerge w:val="continue"/>
          </w:tcPr>
          <w:p w14:paraId="565F3C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260D5F9">
      <w:pPr>
        <w:jc w:val="center"/>
        <w:rPr>
          <w:rFonts w:ascii="Times New Roman" w:hAnsi="Times New Roman" w:cs="Times New Roman"/>
          <w:b/>
          <w:bCs/>
        </w:rPr>
      </w:pPr>
    </w:p>
    <w:p w14:paraId="741AEB6D">
      <w:pPr>
        <w:jc w:val="center"/>
        <w:rPr>
          <w:rFonts w:ascii="Times New Roman" w:hAnsi="Times New Roman" w:cs="Times New Roman"/>
          <w:b/>
          <w:bCs/>
        </w:rPr>
      </w:pPr>
    </w:p>
    <w:p w14:paraId="0508E819">
      <w:pPr>
        <w:pStyle w:val="29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Памятка для СМО с указанием ключевых параметров при заведении заявок на доступы к стендам ФЕРЗЛ и ФПУМП.</w:t>
      </w:r>
    </w:p>
    <w:p w14:paraId="6732687B">
      <w:pPr>
        <w:pStyle w:val="29"/>
        <w:numPr>
          <w:ilvl w:val="0"/>
          <w:numId w:val="0"/>
        </w:numPr>
        <w:ind w:left="720" w:leftChars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3.1 Получение доступа к интеграционному стенду </w:t>
      </w:r>
      <w:r>
        <w:rPr>
          <w:rFonts w:ascii="Times New Roman" w:hAnsi="Times New Roman" w:cs="Times New Roman"/>
          <w:b/>
          <w:bCs/>
          <w:lang w:val="en-US"/>
        </w:rPr>
        <w:t>PD</w:t>
      </w:r>
      <w:r>
        <w:rPr>
          <w:rFonts w:ascii="Times New Roman" w:hAnsi="Times New Roman" w:cs="Times New Roman"/>
          <w:b/>
          <w:bCs/>
        </w:rPr>
        <w:t>15 (для тестирования)</w:t>
      </w:r>
    </w:p>
    <w:tbl>
      <w:tblPr>
        <w:tblStyle w:val="15"/>
        <w:tblW w:w="14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9"/>
        <w:gridCol w:w="6216"/>
        <w:gridCol w:w="3410"/>
      </w:tblGrid>
      <w:tr w14:paraId="21CB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9" w:type="dxa"/>
          </w:tcPr>
          <w:p w14:paraId="13DF3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Учетные записи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  <w:tc>
          <w:tcPr>
            <w:tcW w:w="6216" w:type="dxa"/>
          </w:tcPr>
          <w:p w14:paraId="756912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Интеграционные данные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подключение ИС»</w:t>
            </w:r>
          </w:p>
        </w:tc>
        <w:tc>
          <w:tcPr>
            <w:tcW w:w="3410" w:type="dxa"/>
          </w:tcPr>
          <w:p w14:paraId="5AFFC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Учетная запись ГосТех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</w:tr>
      <w:tr w14:paraId="635C2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0" w:hRule="atLeast"/>
        </w:trPr>
        <w:tc>
          <w:tcPr>
            <w:tcW w:w="5119" w:type="dxa"/>
          </w:tcPr>
          <w:p w14:paraId="076EB4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ФПУМП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"Федеральная подсистема персонифицированного учета медицинской помощи"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Роль: Плательщик СМО (ключевая роль).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ФПУМП направляются на электронную почту пользователя, указанную в заявке.</w:t>
            </w:r>
          </w:p>
        </w:tc>
        <w:tc>
          <w:tcPr>
            <w:tcW w:w="6216" w:type="dxa"/>
          </w:tcPr>
          <w:p w14:paraId="3CFF59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получения интеграционных данных в подсистемы ФЕРЗЛ и ФПУМП в ДОМС могут быть созданы, как отдельные заявки на каждую подсистему, так и общая заявка на 2 подсистемы.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Токен в ФЕРЗЛ (выдается 1 токен на организацию), </w:t>
            </w:r>
            <w:r>
              <w:rPr>
                <w:rFonts w:ascii="Times New Roman" w:hAnsi="Times New Roman" w:cs="Times New Roman"/>
                <w:lang w:val="en-US"/>
              </w:rPr>
              <w:t>ClientID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ClientSecret</w:t>
            </w:r>
            <w:r>
              <w:rPr>
                <w:rFonts w:ascii="Times New Roman" w:hAnsi="Times New Roman" w:cs="Times New Roman"/>
              </w:rPr>
              <w:t xml:space="preserve"> в ФПУМП (выдается 1 пара на информационную систему),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АП в ФПУМП (выдается 1 АП на организацию):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С какими подсистемами планируется взаимодействие: ФЕРЗЛ и/или ФПУМП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Токен в ФЕРЗЛ, </w:t>
            </w:r>
            <w:r>
              <w:rPr>
                <w:rFonts w:ascii="Times New Roman" w:hAnsi="Times New Roman" w:cs="Times New Roman"/>
                <w:lang w:val="en-US"/>
              </w:rPr>
              <w:t>ClientID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ClientSecret</w:t>
            </w:r>
            <w:r>
              <w:rPr>
                <w:rFonts w:ascii="Times New Roman" w:hAnsi="Times New Roman" w:cs="Times New Roman"/>
              </w:rPr>
              <w:t xml:space="preserve"> и АП в ФПУМП направляются на электронную почту пользователя, указанную в заявке.</w:t>
            </w:r>
          </w:p>
        </w:tc>
        <w:tc>
          <w:tcPr>
            <w:tcW w:w="3410" w:type="dxa"/>
          </w:tcPr>
          <w:p w14:paraId="2B0B16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ГосТех: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ГОСТЕХ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INT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ГосТех направляются на электронную почту пользователя, указанную в заявке.</w:t>
            </w:r>
          </w:p>
        </w:tc>
      </w:tr>
    </w:tbl>
    <w:p w14:paraId="282226F0">
      <w:pPr>
        <w:jc w:val="center"/>
        <w:rPr>
          <w:rFonts w:ascii="Times New Roman" w:hAnsi="Times New Roman" w:cs="Times New Roman"/>
        </w:rPr>
      </w:pPr>
    </w:p>
    <w:p w14:paraId="0477524C">
      <w:pPr>
        <w:jc w:val="center"/>
        <w:rPr>
          <w:rFonts w:ascii="Times New Roman" w:hAnsi="Times New Roman" w:cs="Times New Roman"/>
        </w:rPr>
      </w:pPr>
    </w:p>
    <w:p w14:paraId="12E55B62">
      <w:pPr>
        <w:jc w:val="center"/>
        <w:rPr>
          <w:rFonts w:ascii="Times New Roman" w:hAnsi="Times New Roman" w:cs="Times New Roman"/>
        </w:rPr>
      </w:pPr>
    </w:p>
    <w:p w14:paraId="4B03F944">
      <w:pPr>
        <w:jc w:val="center"/>
        <w:rPr>
          <w:rFonts w:ascii="Times New Roman" w:hAnsi="Times New Roman" w:cs="Times New Roman"/>
        </w:rPr>
      </w:pPr>
    </w:p>
    <w:p w14:paraId="68093104">
      <w:pPr>
        <w:jc w:val="center"/>
        <w:rPr>
          <w:rFonts w:ascii="Times New Roman" w:hAnsi="Times New Roman" w:cs="Times New Roman"/>
        </w:rPr>
      </w:pPr>
    </w:p>
    <w:p w14:paraId="446A43DC">
      <w:pPr>
        <w:jc w:val="center"/>
        <w:rPr>
          <w:rFonts w:ascii="Times New Roman" w:hAnsi="Times New Roman" w:cs="Times New Roman"/>
        </w:rPr>
      </w:pPr>
    </w:p>
    <w:p w14:paraId="413C92AA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 Получение доступа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 промышленным стендам ФЕРЗЛ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 xml:space="preserve"> и ФПУМП (ГосТех </w:t>
      </w:r>
      <w:r>
        <w:rPr>
          <w:rFonts w:ascii="Times New Roman" w:hAnsi="Times New Roman" w:cs="Times New Roman"/>
          <w:b/>
          <w:bCs/>
          <w:lang w:val="en-US"/>
        </w:rPr>
        <w:t>PD</w:t>
      </w:r>
      <w:r>
        <w:rPr>
          <w:rFonts w:ascii="Times New Roman" w:hAnsi="Times New Roman" w:cs="Times New Roman"/>
          <w:b/>
          <w:bCs/>
        </w:rPr>
        <w:t xml:space="preserve">20) </w:t>
      </w:r>
    </w:p>
    <w:tbl>
      <w:tblPr>
        <w:tblStyle w:val="15"/>
        <w:tblW w:w="14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1"/>
        <w:gridCol w:w="7796"/>
      </w:tblGrid>
      <w:tr w14:paraId="3F2F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4BD35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Учетные записи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получение УЗ»</w:t>
            </w:r>
          </w:p>
        </w:tc>
        <w:tc>
          <w:tcPr>
            <w:tcW w:w="7796" w:type="dxa"/>
          </w:tcPr>
          <w:p w14:paraId="05AC54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Интеграционные данные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Вкладка «Заявки на подключение ИС»</w:t>
            </w:r>
          </w:p>
        </w:tc>
      </w:tr>
      <w:tr w14:paraId="2A376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3" w:hRule="atLeast"/>
        </w:trPr>
        <w:tc>
          <w:tcPr>
            <w:tcW w:w="6941" w:type="dxa"/>
          </w:tcPr>
          <w:p w14:paraId="0D832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 в ФПУМП (для каждого пользователя):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PROD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Наименование полномочия: Работа с подсистемой "Федеральная подсистема персонифицированного учета медицинской помощи" ГИС ОМС (МО)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Роль: Плательщик СМО (ключевая роль).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Логин и пароль для доступа в ФПУМП направляются на электронную почту пользователя, указанную в заявке.</w:t>
            </w:r>
          </w:p>
        </w:tc>
        <w:tc>
          <w:tcPr>
            <w:tcW w:w="7796" w:type="dxa"/>
          </w:tcPr>
          <w:p w14:paraId="7B1D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получения интеграционных данных в подсистемы ФЕРЗЛ и ФПУМП в ДОМС могут быть созданы, как отдельные заявки на каждую подсистему, так и общая заявка на 2 подсистемы.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Токен в ФЕРЗЛ (выдается 1 токен на организацию),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  <w:lang w:val="en-US"/>
              </w:rPr>
              <w:t>ClientID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ClientSecret</w:t>
            </w:r>
            <w:r>
              <w:rPr>
                <w:rFonts w:ascii="Times New Roman" w:hAnsi="Times New Roman" w:cs="Times New Roman"/>
              </w:rPr>
              <w:t xml:space="preserve"> в ФПУМП (выдается 1 пара на информационную систему), 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ПТУЗ в ФПУМП (выдается 1 ПТУЗ на организацию):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Тип заявки: Подсистемы ГИС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- С какими подсистемами планируется взаимодействие: ФЕРЗЛ и/или ФПУМП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- Контур использования: </w:t>
            </w:r>
            <w:r>
              <w:rPr>
                <w:rFonts w:ascii="Times New Roman" w:hAnsi="Times New Roman" w:cs="Times New Roman"/>
                <w:lang w:val="en-US"/>
              </w:rPr>
              <w:t>PROD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Токен в ФЕРЗЛ направляется по Деловой почте на УИБ ФОМС. </w:t>
            </w:r>
            <w:r>
              <w:rPr>
                <w:rFonts w:ascii="Times New Roman" w:hAnsi="Times New Roman" w:cs="Times New Roman"/>
                <w:lang w:val="en-US"/>
              </w:rPr>
              <w:t>ClientID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ClientSecret</w:t>
            </w:r>
            <w:r>
              <w:rPr>
                <w:rFonts w:ascii="Times New Roman" w:hAnsi="Times New Roman" w:cs="Times New Roman"/>
              </w:rPr>
              <w:t xml:space="preserve"> и ПТУЗ в ФПУМП направляются на электронную почту пользователя, указанную в заявке.</w:t>
            </w:r>
          </w:p>
        </w:tc>
      </w:tr>
    </w:tbl>
    <w:p w14:paraId="780DC4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/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91815"/>
    <w:multiLevelType w:val="multilevel"/>
    <w:tmpl w:val="51091815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5F721E"/>
    <w:multiLevelType w:val="multilevel"/>
    <w:tmpl w:val="675F721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14"/>
    <w:rsid w:val="00086791"/>
    <w:rsid w:val="000C4B25"/>
    <w:rsid w:val="00183961"/>
    <w:rsid w:val="001A256D"/>
    <w:rsid w:val="00202CB7"/>
    <w:rsid w:val="002F30EE"/>
    <w:rsid w:val="00415CD1"/>
    <w:rsid w:val="006F5E14"/>
    <w:rsid w:val="0072649C"/>
    <w:rsid w:val="00861E38"/>
    <w:rsid w:val="00881AAF"/>
    <w:rsid w:val="009F4251"/>
    <w:rsid w:val="00C018D5"/>
    <w:rsid w:val="00CF6841"/>
    <w:rsid w:val="00D2791A"/>
    <w:rsid w:val="00EB7CE3"/>
    <w:rsid w:val="00EC1482"/>
    <w:rsid w:val="00F2739C"/>
    <w:rsid w:val="0358071A"/>
    <w:rsid w:val="099B034F"/>
    <w:rsid w:val="0A49096C"/>
    <w:rsid w:val="0E6B26B2"/>
    <w:rsid w:val="14C00258"/>
    <w:rsid w:val="19C31ED3"/>
    <w:rsid w:val="1FAF2FB2"/>
    <w:rsid w:val="21BF3EED"/>
    <w:rsid w:val="22896E39"/>
    <w:rsid w:val="27CB53D6"/>
    <w:rsid w:val="3B71365E"/>
    <w:rsid w:val="3C9432EA"/>
    <w:rsid w:val="3DB90AD0"/>
    <w:rsid w:val="401B2838"/>
    <w:rsid w:val="50800F21"/>
    <w:rsid w:val="54B50C23"/>
    <w:rsid w:val="54F30D05"/>
    <w:rsid w:val="5A4455AA"/>
    <w:rsid w:val="61E60EAB"/>
    <w:rsid w:val="64D03DF2"/>
    <w:rsid w:val="6F1737D2"/>
    <w:rsid w:val="73DD27A6"/>
    <w:rsid w:val="7A5742C4"/>
    <w:rsid w:val="7A6F5AB6"/>
    <w:rsid w:val="7F20421C"/>
    <w:rsid w:val="7F9B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5">
    <w:name w:val="Table Grid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Заголовок 1 Знак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Знак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Подзаголовок Знак"/>
    <w:basedOn w:val="11"/>
    <w:link w:val="14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Цитата 2 Знак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Выделенная цитата Знак"/>
    <w:basedOn w:val="11"/>
    <w:link w:val="31"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1442</Words>
  <Characters>8221</Characters>
  <Lines>68</Lines>
  <Paragraphs>19</Paragraphs>
  <TotalTime>0</TotalTime>
  <ScaleCrop>false</ScaleCrop>
  <LinksUpToDate>false</LinksUpToDate>
  <CharactersWithSpaces>9644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2025-10-17T16:09:00Z</dcterms:created>
  <dc:creator>Елена Киязбекова</dc:creator>
  <cp:lastModifiedBy>Леонид Селиверс�</cp:lastModifiedBy>
  <dcterms:modified xsi:type="dcterms:W3CDTF">2026-01-21T13:52:40Z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F5DB79AC3A3A4EE8AAD98BB4B80D8BA4_13</vt:lpwstr>
  </property>
</Properties>
</file>